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3C" w:rsidRPr="00DC0B3C" w:rsidRDefault="00DC0B3C" w:rsidP="00DC0B3C">
      <w:pPr>
        <w:spacing w:after="0" w:line="240" w:lineRule="auto"/>
        <w:jc w:val="right"/>
        <w:rPr>
          <w:rFonts w:ascii="Arial" w:eastAsia="Times New Roman" w:hAnsi="Arial" w:cs="Arial"/>
          <w:b/>
          <w:sz w:val="28"/>
          <w:szCs w:val="28"/>
          <w:lang w:eastAsia="en-GB"/>
        </w:rPr>
      </w:pPr>
      <w:bookmarkStart w:id="0" w:name="_GoBack"/>
      <w:bookmarkEnd w:id="0"/>
      <w:r w:rsidRPr="00DC0B3C">
        <w:rPr>
          <w:rFonts w:ascii="Arial" w:eastAsia="Times New Roman" w:hAnsi="Arial" w:cs="Arial"/>
          <w:b/>
          <w:sz w:val="28"/>
          <w:szCs w:val="28"/>
          <w:lang w:eastAsia="en-GB"/>
        </w:rPr>
        <w:t xml:space="preserve">Appendix </w:t>
      </w:r>
      <w:r>
        <w:rPr>
          <w:rFonts w:ascii="Arial" w:eastAsia="Times New Roman" w:hAnsi="Arial" w:cs="Arial"/>
          <w:b/>
          <w:sz w:val="28"/>
          <w:szCs w:val="28"/>
          <w:lang w:eastAsia="en-GB"/>
        </w:rPr>
        <w:t>1</w:t>
      </w:r>
    </w:p>
    <w:p w:rsidR="00DC0B3C" w:rsidRPr="00DC0B3C" w:rsidRDefault="00DC0B3C" w:rsidP="00DC0B3C">
      <w:pPr>
        <w:spacing w:after="0" w:line="240" w:lineRule="auto"/>
        <w:jc w:val="center"/>
        <w:rPr>
          <w:rFonts w:ascii="Arial" w:eastAsia="Times New Roman" w:hAnsi="Arial" w:cs="Arial"/>
          <w:sz w:val="32"/>
          <w:szCs w:val="32"/>
          <w:lang w:eastAsia="en-GB"/>
        </w:rPr>
      </w:pPr>
    </w:p>
    <w:p w:rsidR="00DC0B3C" w:rsidRPr="00DC0B3C" w:rsidRDefault="00DC0B3C" w:rsidP="00DC0B3C">
      <w:pPr>
        <w:spacing w:after="0" w:line="240" w:lineRule="auto"/>
        <w:jc w:val="center"/>
        <w:rPr>
          <w:rFonts w:ascii="Arial" w:eastAsia="Times New Roman" w:hAnsi="Arial" w:cs="Arial"/>
          <w:b/>
          <w:sz w:val="28"/>
          <w:szCs w:val="28"/>
          <w:lang w:eastAsia="en-GB"/>
        </w:rPr>
      </w:pPr>
      <w:r w:rsidRPr="00DC0B3C">
        <w:rPr>
          <w:rFonts w:ascii="Arial" w:eastAsia="Times New Roman" w:hAnsi="Arial" w:cs="Arial"/>
          <w:b/>
          <w:sz w:val="28"/>
          <w:szCs w:val="28"/>
          <w:lang w:eastAsia="en-GB"/>
        </w:rPr>
        <w:t>Definitions and Indicators of Abuse</w:t>
      </w:r>
    </w:p>
    <w:p w:rsidR="00DC0B3C" w:rsidRPr="00DC0B3C" w:rsidRDefault="00DC0B3C" w:rsidP="00DC0B3C">
      <w:pPr>
        <w:spacing w:after="0" w:line="240" w:lineRule="auto"/>
        <w:rPr>
          <w:rFonts w:ascii="Arial" w:eastAsia="Times New Roman" w:hAnsi="Arial" w:cs="Arial"/>
          <w:b/>
          <w:u w:val="single"/>
          <w:lang w:eastAsia="en-GB"/>
        </w:rPr>
      </w:pPr>
    </w:p>
    <w:p w:rsidR="00DC0B3C" w:rsidRPr="00DC0B3C" w:rsidRDefault="00DC0B3C" w:rsidP="00DC0B3C">
      <w:pPr>
        <w:keepNext/>
        <w:numPr>
          <w:ilvl w:val="1"/>
          <w:numId w:val="1"/>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hanging="99"/>
        <w:outlineLvl w:val="0"/>
        <w:rPr>
          <w:rFonts w:ascii="Arial" w:eastAsia="Times New Roman" w:hAnsi="Arial" w:cs="Arial"/>
          <w:u w:val="single"/>
          <w:lang w:eastAsia="en-GB"/>
        </w:rPr>
      </w:pPr>
      <w:r w:rsidRPr="00DC0B3C">
        <w:rPr>
          <w:rFonts w:ascii="Arial" w:eastAsia="Times New Roman" w:hAnsi="Arial" w:cs="Arial"/>
          <w:b/>
          <w:lang w:eastAsia="en-GB"/>
        </w:rPr>
        <w:t>Neglect</w:t>
      </w:r>
    </w:p>
    <w:p w:rsidR="00DC0B3C" w:rsidRPr="00DC0B3C" w:rsidRDefault="00DC0B3C" w:rsidP="00DC0B3C">
      <w:pPr>
        <w:spacing w:after="0" w:line="240" w:lineRule="auto"/>
        <w:rPr>
          <w:rFonts w:ascii="Arial" w:eastAsia="Times New Roman" w:hAnsi="Arial" w:cs="Arial"/>
          <w:lang w:eastAsia="en-GB"/>
        </w:rPr>
      </w:pPr>
    </w:p>
    <w:p w:rsidR="00DC0B3C" w:rsidRPr="00DC0B3C" w:rsidRDefault="00DC0B3C" w:rsidP="00DC0B3C">
      <w:pPr>
        <w:spacing w:after="0" w:line="240" w:lineRule="auto"/>
        <w:jc w:val="both"/>
        <w:rPr>
          <w:rFonts w:ascii="Arial" w:eastAsia="Times New Roman" w:hAnsi="Arial" w:cs="Arial"/>
          <w:lang w:eastAsia="en-GB"/>
        </w:rPr>
      </w:pPr>
      <w:r w:rsidRPr="00DC0B3C">
        <w:rPr>
          <w:rFonts w:ascii="Arial" w:eastAsia="Times New Roman" w:hAnsi="Arial" w:cs="Arial"/>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DC0B3C" w:rsidRPr="00DC0B3C" w:rsidRDefault="00DC0B3C" w:rsidP="00DC0B3C">
      <w:pPr>
        <w:spacing w:after="0" w:line="240" w:lineRule="auto"/>
        <w:jc w:val="both"/>
        <w:rPr>
          <w:rFonts w:ascii="Arial" w:eastAsia="Times New Roman" w:hAnsi="Arial" w:cs="Arial"/>
          <w:lang w:eastAsia="en-GB"/>
        </w:rPr>
      </w:pPr>
    </w:p>
    <w:p w:rsidR="00DC0B3C" w:rsidRPr="00DC0B3C" w:rsidRDefault="00DC0B3C" w:rsidP="00DC0B3C">
      <w:pPr>
        <w:numPr>
          <w:ilvl w:val="0"/>
          <w:numId w:val="2"/>
        </w:numPr>
        <w:spacing w:after="0" w:line="240" w:lineRule="auto"/>
        <w:jc w:val="both"/>
        <w:rPr>
          <w:rFonts w:ascii="Arial" w:eastAsia="Times New Roman" w:hAnsi="Arial" w:cs="Arial"/>
          <w:lang w:eastAsia="en-GB"/>
        </w:rPr>
      </w:pPr>
      <w:r w:rsidRPr="00DC0B3C">
        <w:rPr>
          <w:rFonts w:ascii="Arial" w:eastAsia="Times New Roman" w:hAnsi="Arial" w:cs="Arial"/>
          <w:lang w:eastAsia="en-GB"/>
        </w:rPr>
        <w:t xml:space="preserve">Provide adequate food, clothing and shelter (including exclusion from home or abandonment); </w:t>
      </w:r>
    </w:p>
    <w:p w:rsidR="00DC0B3C" w:rsidRPr="00DC0B3C" w:rsidRDefault="00DC0B3C" w:rsidP="00DC0B3C">
      <w:pPr>
        <w:numPr>
          <w:ilvl w:val="0"/>
          <w:numId w:val="2"/>
        </w:numPr>
        <w:spacing w:after="0" w:line="240" w:lineRule="auto"/>
        <w:jc w:val="both"/>
        <w:rPr>
          <w:rFonts w:ascii="Arial" w:eastAsia="Times New Roman" w:hAnsi="Arial" w:cs="Arial"/>
          <w:lang w:eastAsia="en-GB"/>
        </w:rPr>
      </w:pPr>
      <w:r w:rsidRPr="00DC0B3C">
        <w:rPr>
          <w:rFonts w:ascii="Arial" w:eastAsia="Times New Roman" w:hAnsi="Arial" w:cs="Arial"/>
          <w:lang w:eastAsia="en-GB"/>
        </w:rPr>
        <w:t>Protect a child from physical and emotional harm or danger;</w:t>
      </w:r>
    </w:p>
    <w:p w:rsidR="00DC0B3C" w:rsidRPr="00DC0B3C" w:rsidRDefault="00DC0B3C" w:rsidP="00DC0B3C">
      <w:pPr>
        <w:numPr>
          <w:ilvl w:val="0"/>
          <w:numId w:val="2"/>
        </w:numPr>
        <w:spacing w:after="0" w:line="240" w:lineRule="auto"/>
        <w:jc w:val="both"/>
        <w:rPr>
          <w:rFonts w:ascii="Arial" w:eastAsia="Times New Roman" w:hAnsi="Arial" w:cs="Arial"/>
          <w:lang w:eastAsia="en-GB"/>
        </w:rPr>
      </w:pPr>
      <w:r w:rsidRPr="00DC0B3C">
        <w:rPr>
          <w:rFonts w:ascii="Arial" w:eastAsia="Times New Roman" w:hAnsi="Arial" w:cs="Arial"/>
          <w:lang w:eastAsia="en-GB"/>
        </w:rPr>
        <w:t>Ensure adequate supervision (including the use of inadequate care-givers); or</w:t>
      </w:r>
    </w:p>
    <w:p w:rsidR="00DC0B3C" w:rsidRPr="00DC0B3C" w:rsidRDefault="00DC0B3C" w:rsidP="00DC0B3C">
      <w:pPr>
        <w:numPr>
          <w:ilvl w:val="0"/>
          <w:numId w:val="2"/>
        </w:numPr>
        <w:spacing w:after="0" w:line="240" w:lineRule="auto"/>
        <w:jc w:val="both"/>
        <w:rPr>
          <w:rFonts w:ascii="Arial" w:eastAsia="Times New Roman" w:hAnsi="Arial" w:cs="Arial"/>
          <w:lang w:eastAsia="en-GB"/>
        </w:rPr>
      </w:pPr>
      <w:r w:rsidRPr="00DC0B3C">
        <w:rPr>
          <w:rFonts w:ascii="Arial" w:eastAsia="Times New Roman" w:hAnsi="Arial" w:cs="Arial"/>
          <w:lang w:eastAsia="en-GB"/>
        </w:rPr>
        <w:t>Ensure access to appropriate medical care or treatment.</w:t>
      </w:r>
    </w:p>
    <w:p w:rsidR="00DC0B3C" w:rsidRPr="00DC0B3C" w:rsidRDefault="00DC0B3C" w:rsidP="00DC0B3C">
      <w:pPr>
        <w:spacing w:after="0" w:line="240" w:lineRule="auto"/>
        <w:jc w:val="both"/>
        <w:rPr>
          <w:rFonts w:ascii="Arial" w:eastAsia="Times New Roman" w:hAnsi="Arial" w:cs="Arial"/>
          <w:lang w:eastAsia="en-GB"/>
        </w:rPr>
      </w:pPr>
    </w:p>
    <w:p w:rsidR="00DC0B3C" w:rsidRPr="00DC0B3C" w:rsidRDefault="00DC0B3C" w:rsidP="00DC0B3C">
      <w:pPr>
        <w:spacing w:after="0" w:line="240" w:lineRule="auto"/>
        <w:jc w:val="both"/>
        <w:rPr>
          <w:rFonts w:ascii="Arial" w:eastAsia="Times New Roman" w:hAnsi="Arial" w:cs="Arial"/>
          <w:lang w:eastAsia="en-GB"/>
        </w:rPr>
      </w:pPr>
      <w:r w:rsidRPr="00DC0B3C">
        <w:rPr>
          <w:rFonts w:ascii="Arial" w:eastAsia="Times New Roman" w:hAnsi="Arial" w:cs="Arial"/>
          <w:lang w:eastAsia="en-GB"/>
        </w:rPr>
        <w:t>It may also include neglect of, or unresponsiveness to, a child's basic emotional needs.</w:t>
      </w:r>
    </w:p>
    <w:p w:rsidR="00DC0B3C" w:rsidRPr="00DC0B3C" w:rsidRDefault="00DC0B3C" w:rsidP="00DC0B3C">
      <w:pPr>
        <w:spacing w:after="0" w:line="240" w:lineRule="auto"/>
        <w:jc w:val="both"/>
        <w:rPr>
          <w:rFonts w:ascii="Arial" w:eastAsia="Times New Roman" w:hAnsi="Arial" w:cs="Arial"/>
          <w:sz w:val="24"/>
          <w:szCs w:val="24"/>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The following may be indicators of neglect (this is not designed to be used as a checklist):</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Constant hunger;</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Stealing, scavenging and/or hoarding food;</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lang w:eastAsia="en-GB"/>
        </w:rPr>
      </w:pPr>
      <w:r w:rsidRPr="00DC0B3C">
        <w:rPr>
          <w:rFonts w:ascii="Arial" w:eastAsia="Times New Roman" w:hAnsi="Arial" w:cs="Arial"/>
          <w:lang w:eastAsia="en-GB"/>
        </w:rPr>
        <w:t>Frequent tiredness or listlessness;</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Frequently dirty or unkempt;</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Often poorly or inappropriately clad for the weather;</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Poor school attendance or often late for school;</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Poor concentration;</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Affection or attention seeking behaviour;</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Illnesses or injuries that are left untreated;</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Failure to achieve developmental milestones, for example growth, weight;</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Failure to develop intellectually or socially;</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Responsibility for activity that is not age appropriate such as cooking, ironing, caring for siblings;</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The child is regularly not collected or received from school; or</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The child is left at home alone or with inappropriate carers.</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Adolescent neglect</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Affluent neglect</w:t>
      </w:r>
    </w:p>
    <w:p w:rsidR="00DC0B3C" w:rsidRPr="00DC0B3C" w:rsidRDefault="00DC0B3C" w:rsidP="00DC0B3C">
      <w:pPr>
        <w:autoSpaceDE w:val="0"/>
        <w:autoSpaceDN w:val="0"/>
        <w:adjustRightInd w:val="0"/>
        <w:spacing w:after="0" w:line="240" w:lineRule="auto"/>
        <w:jc w:val="both"/>
        <w:rPr>
          <w:rFonts w:ascii="Arial" w:eastAsia="Times New Roman" w:hAnsi="Arial" w:cs="Arial"/>
          <w:color w:val="000000"/>
          <w:sz w:val="24"/>
          <w:szCs w:val="24"/>
          <w:lang w:eastAsia="en-GB"/>
        </w:rPr>
      </w:pPr>
    </w:p>
    <w:p w:rsidR="00DC0B3C" w:rsidRPr="00DC0B3C" w:rsidRDefault="00DC0B3C" w:rsidP="00DC0B3C">
      <w:pPr>
        <w:autoSpaceDE w:val="0"/>
        <w:autoSpaceDN w:val="0"/>
        <w:adjustRightInd w:val="0"/>
        <w:spacing w:after="0" w:line="240" w:lineRule="auto"/>
        <w:jc w:val="both"/>
        <w:rPr>
          <w:rFonts w:ascii="Arial" w:eastAsia="Times New Roman" w:hAnsi="Arial" w:cs="Arial"/>
          <w:color w:val="000000"/>
          <w:sz w:val="24"/>
          <w:szCs w:val="24"/>
          <w:lang w:eastAsia="en-GB"/>
        </w:rPr>
      </w:pPr>
    </w:p>
    <w:p w:rsidR="00DC0B3C" w:rsidRPr="00DC0B3C" w:rsidRDefault="00DC0B3C" w:rsidP="00DC0B3C">
      <w:pPr>
        <w:keepNext/>
        <w:tabs>
          <w:tab w:val="left" w:pos="0"/>
          <w:tab w:val="left" w:pos="10080"/>
          <w:tab w:val="left" w:pos="10800"/>
          <w:tab w:val="left" w:pos="11520"/>
          <w:tab w:val="left" w:pos="12240"/>
        </w:tabs>
        <w:spacing w:after="0" w:line="240" w:lineRule="auto"/>
        <w:jc w:val="both"/>
        <w:outlineLvl w:val="0"/>
        <w:rPr>
          <w:rFonts w:ascii="Arial" w:eastAsia="Times New Roman" w:hAnsi="Arial" w:cs="Times New Roman"/>
          <w:b/>
          <w:lang w:eastAsia="en-GB"/>
        </w:rPr>
      </w:pPr>
      <w:r w:rsidRPr="00DC0B3C">
        <w:rPr>
          <w:rFonts w:ascii="Arial" w:eastAsia="Times New Roman" w:hAnsi="Arial" w:cs="Times New Roman"/>
          <w:b/>
          <w:lang w:eastAsia="en-GB"/>
        </w:rPr>
        <w:t>2. Physical Abuse</w:t>
      </w:r>
    </w:p>
    <w:p w:rsidR="00DC0B3C" w:rsidRPr="00DC0B3C" w:rsidRDefault="00DC0B3C" w:rsidP="00DC0B3C">
      <w:pPr>
        <w:spacing w:after="0" w:line="240" w:lineRule="auto"/>
        <w:jc w:val="both"/>
        <w:rPr>
          <w:rFonts w:ascii="Arial" w:eastAsia="Times New Roman" w:hAnsi="Arial" w:cs="Times New Roman"/>
          <w:lang w:eastAsia="en-GB"/>
        </w:rPr>
      </w:pPr>
    </w:p>
    <w:p w:rsidR="00DC0B3C" w:rsidRPr="00DC0B3C" w:rsidRDefault="00DC0B3C" w:rsidP="00DC0B3C">
      <w:pPr>
        <w:spacing w:after="0" w:line="240" w:lineRule="auto"/>
        <w:rPr>
          <w:rFonts w:ascii="Arial" w:eastAsia="Times New Roman" w:hAnsi="Arial" w:cs="Times New Roman"/>
          <w:bCs/>
          <w:lang w:eastAsia="en-GB"/>
        </w:rPr>
      </w:pPr>
      <w:r w:rsidRPr="00DC0B3C">
        <w:rPr>
          <w:rFonts w:ascii="Arial" w:eastAsia="Times New Roman" w:hAnsi="Arial" w:cs="Times New Roman"/>
          <w:bCs/>
          <w:lang w:val="en-US" w:eastAsia="en-GB"/>
        </w:rPr>
        <w:t xml:space="preserve">Physical abuse </w:t>
      </w:r>
      <w:r w:rsidRPr="00DC0B3C">
        <w:rPr>
          <w:rFonts w:ascii="Arial" w:eastAsia="Times New Roman" w:hAnsi="Arial" w:cs="Times New Roman"/>
          <w:bCs/>
          <w:lang w:eastAsia="en-GB"/>
        </w:rPr>
        <w:t>may involve hitting, shaking, throwing, poisoning, burning or scalding, drowning, suffocating or otherwise causing physical harm to a child.</w:t>
      </w:r>
      <w:r w:rsidRPr="00DC0B3C">
        <w:rPr>
          <w:rFonts w:ascii="Arial" w:eastAsia="Times New Roman" w:hAnsi="Arial" w:cs="Times New Roman"/>
          <w:bCs/>
          <w:sz w:val="24"/>
          <w:szCs w:val="20"/>
          <w:lang w:eastAsia="en-GB"/>
        </w:rPr>
        <w:t xml:space="preserve">  </w:t>
      </w:r>
      <w:r w:rsidRPr="00DC0B3C">
        <w:rPr>
          <w:rFonts w:ascii="Arial" w:eastAsia="Times New Roman" w:hAnsi="Arial" w:cs="Times New Roman"/>
          <w:bCs/>
          <w:lang w:eastAsia="en-GB"/>
        </w:rPr>
        <w:t>Physical harm may also be caused when a parent or carer fabricates the symptoms of, or deliberately induces, illness in a child.</w:t>
      </w:r>
    </w:p>
    <w:p w:rsidR="00DC0B3C" w:rsidRPr="00DC0B3C" w:rsidRDefault="00DC0B3C" w:rsidP="00DC0B3C">
      <w:pPr>
        <w:spacing w:after="0" w:line="240" w:lineRule="auto"/>
        <w:rPr>
          <w:rFonts w:ascii="Arial" w:eastAsia="Times New Roman" w:hAnsi="Arial" w:cs="Times New Roman"/>
          <w:bCs/>
          <w:sz w:val="24"/>
          <w:szCs w:val="20"/>
          <w:lang w:val="en-US"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Arial"/>
          <w:lang w:eastAsia="en-GB"/>
        </w:rPr>
      </w:pPr>
      <w:r w:rsidRPr="00DC0B3C">
        <w:rPr>
          <w:rFonts w:ascii="Arial" w:eastAsia="Times New Roman" w:hAnsi="Arial" w:cs="Arial"/>
          <w:lang w:eastAsia="en-GB"/>
        </w:rPr>
        <w:t>The following may be indicators of physical abuse (this is not designed to be used as a checklist):</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Arial"/>
          <w:lang w:eastAsia="en-GB"/>
        </w:rPr>
      </w:pP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Multiple bruises in clusters, or of uniform shape;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Bruises that carry an imprint, such as a hand or a belt;</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lastRenderedPageBreak/>
        <w:t>Bite marks;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Round burn marks;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Multiple burn marks and burns on unusual areas of the body such as the back, shoulders or buttocks;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An injury that is not consistent with the account given;</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Changing or different accounts of how an injury occurred;</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Bald patches;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Symptoms of drug or alcohol intoxication or poisoning;</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Unaccountable covering of limbs, even in hot weather;</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Fear of going home or parents being contacted;</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Fear of medical help;</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Fear of changing for PE;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Inexplicable fear of adults or over-compliance;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Violence or aggression towards others including bullying; or</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lang w:eastAsia="en-GB"/>
        </w:rPr>
        <w:t>Isolation from peers.</w:t>
      </w:r>
    </w:p>
    <w:p w:rsidR="00DC0B3C" w:rsidRPr="00DC0B3C" w:rsidRDefault="00DC0B3C" w:rsidP="00DC0B3C">
      <w:pPr>
        <w:autoSpaceDE w:val="0"/>
        <w:autoSpaceDN w:val="0"/>
        <w:adjustRightInd w:val="0"/>
        <w:spacing w:after="0" w:line="240" w:lineRule="auto"/>
        <w:rPr>
          <w:rFonts w:ascii="Arial" w:eastAsia="Calibri" w:hAnsi="Arial" w:cs="Arial"/>
          <w:b/>
          <w:bCs/>
          <w:color w:val="000000"/>
        </w:rPr>
      </w:pPr>
    </w:p>
    <w:p w:rsidR="00DC0B3C" w:rsidRPr="00DC0B3C" w:rsidRDefault="00DC0B3C" w:rsidP="00DC0B3C">
      <w:pPr>
        <w:autoSpaceDE w:val="0"/>
        <w:autoSpaceDN w:val="0"/>
        <w:adjustRightInd w:val="0"/>
        <w:spacing w:after="0" w:line="240" w:lineRule="auto"/>
        <w:rPr>
          <w:rFonts w:ascii="Arial" w:eastAsia="Calibri" w:hAnsi="Arial" w:cs="Arial"/>
          <w:b/>
          <w:bCs/>
          <w:color w:val="000000"/>
        </w:rPr>
      </w:pPr>
    </w:p>
    <w:p w:rsidR="00DC0B3C" w:rsidRPr="00DC0B3C" w:rsidRDefault="00DC0B3C" w:rsidP="00DC0B3C">
      <w:pPr>
        <w:autoSpaceDE w:val="0"/>
        <w:autoSpaceDN w:val="0"/>
        <w:adjustRightInd w:val="0"/>
        <w:spacing w:after="0" w:line="240" w:lineRule="auto"/>
        <w:rPr>
          <w:rFonts w:ascii="Arial" w:eastAsia="Calibri" w:hAnsi="Arial" w:cs="Arial"/>
          <w:b/>
          <w:bCs/>
          <w:color w:val="000000"/>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b/>
          <w:lang w:eastAsia="en-GB"/>
        </w:rPr>
        <w:t>3. Sexual Abuse</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 xml:space="preserve">Sexual abuse involves forcing or enticing a child or young person to take part in sexual activities, </w:t>
      </w:r>
      <w:r w:rsidRPr="00DC0B3C">
        <w:rPr>
          <w:rFonts w:ascii="Arial" w:eastAsia="Times New Roman" w:hAnsi="Arial" w:cs="Times New Roman"/>
          <w:iCs/>
          <w:lang w:eastAsia="en-GB"/>
        </w:rPr>
        <w:t>not necessarily involving a high level of violence,</w:t>
      </w:r>
      <w:r w:rsidRPr="00DC0B3C">
        <w:rPr>
          <w:rFonts w:ascii="Arial" w:eastAsia="Times New Roman" w:hAnsi="Arial" w:cs="Times New Roman"/>
          <w:lang w:eastAsia="en-GB"/>
        </w:rPr>
        <w:t xml:space="preserve"> whether or not the child is aware of what is happening.  The activities may involve physical contact, including assault by penetration (for example, rape or oral sex) or </w:t>
      </w:r>
      <w:r w:rsidRPr="00DC0B3C">
        <w:rPr>
          <w:rFonts w:ascii="Arial" w:eastAsia="Times New Roman" w:hAnsi="Arial" w:cs="Times New Roman"/>
          <w:iCs/>
          <w:lang w:eastAsia="en-GB"/>
        </w:rPr>
        <w:t>non-penetrative acts such as masturbation, kissing, rubbing and touching outside of clothing</w:t>
      </w:r>
      <w:r w:rsidRPr="00DC0B3C">
        <w:rPr>
          <w:rFonts w:ascii="Arial" w:eastAsia="Times New Roman" w:hAnsi="Arial" w:cs="Times New Roman"/>
          <w:i/>
          <w:lang w:eastAsia="en-GB"/>
        </w:rPr>
        <w:t xml:space="preserve">.  </w:t>
      </w:r>
      <w:r w:rsidRPr="00DC0B3C">
        <w:rPr>
          <w:rFonts w:ascii="Arial" w:eastAsia="Times New Roman" w:hAnsi="Arial" w:cs="Times New Roman"/>
          <w:lang w:eastAsia="en-GB"/>
        </w:rPr>
        <w:t xml:space="preserve">They may also include non-contact activities, such as involving children in looking at, or in the production of, sexual images, watching sexual activities, encouraging children to behave in sexually inappropriate ways, </w:t>
      </w:r>
      <w:r w:rsidRPr="00DC0B3C">
        <w:rPr>
          <w:rFonts w:ascii="Arial" w:eastAsia="Times New Roman" w:hAnsi="Arial" w:cs="Times New Roman"/>
          <w:iCs/>
          <w:lang w:eastAsia="en-GB"/>
        </w:rPr>
        <w:t>or grooming a child in preparation for abuse (including via the internet).  Sexual abuse is not solely perpetrated by adult males.  Women can also commit acts of sexual abuse, as can other children.</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i/>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Arial"/>
          <w:lang w:eastAsia="en-GB"/>
        </w:rPr>
      </w:pPr>
      <w:r w:rsidRPr="00DC0B3C">
        <w:rPr>
          <w:rFonts w:ascii="Arial" w:eastAsia="Times New Roman" w:hAnsi="Arial" w:cs="Arial"/>
          <w:lang w:eastAsia="en-GB"/>
        </w:rPr>
        <w:t>The following may be indicators of sexual abuse (this is not designed to be used as a checklist):</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Arial"/>
          <w:lang w:eastAsia="en-GB"/>
        </w:rPr>
      </w:pP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Sexually explicit play or behaviour or age-inappropriate knowledge;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Anal or vaginal discharge, soreness or scratching;</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Reluctance to go home;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Inability to concentrate, tiredness;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Refusal to communicate;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Thrush, persistent complaints of stomach disorders or pains;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Eating disorders, for example anorexia nervosa and bulimia;</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Attention seeking behaviour, self-mutilation, substance abuse;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Aggressive behaviour including sexual harassment or molestation;</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Unusual compliance;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Regressive behaviour, enuresis, soiling;</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b/>
        </w:rPr>
      </w:pPr>
      <w:r w:rsidRPr="00DC0B3C">
        <w:rPr>
          <w:rFonts w:ascii="Arial" w:eastAsia="Times New Roman" w:hAnsi="Arial" w:cs="Arial"/>
        </w:rPr>
        <w:t>Frequent or open masturbation, touching others inappropriately;</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b/>
        </w:rPr>
      </w:pPr>
      <w:r w:rsidRPr="00DC0B3C">
        <w:rPr>
          <w:rFonts w:ascii="Arial" w:eastAsia="Times New Roman" w:hAnsi="Arial" w:cs="Arial"/>
        </w:rPr>
        <w:t>Depression, withdrawal, isolation from peer group;</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b/>
        </w:rPr>
      </w:pPr>
      <w:r w:rsidRPr="00DC0B3C">
        <w:rPr>
          <w:rFonts w:ascii="Arial" w:eastAsia="Times New Roman" w:hAnsi="Arial" w:cs="Arial"/>
        </w:rPr>
        <w:t>Reluctance to undress for PE or swimming; or</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b/>
        </w:rPr>
      </w:pPr>
      <w:r w:rsidRPr="00DC0B3C">
        <w:rPr>
          <w:rFonts w:ascii="Arial" w:eastAsia="Times New Roman" w:hAnsi="Arial" w:cs="Arial"/>
        </w:rPr>
        <w:t>Bruises or scratches in the genital area.</w:t>
      </w:r>
    </w:p>
    <w:p w:rsidR="00DC0B3C" w:rsidRPr="00DC0B3C" w:rsidRDefault="00DC0B3C" w:rsidP="00DC0B3C">
      <w:pPr>
        <w:spacing w:after="120" w:line="240" w:lineRule="auto"/>
        <w:rPr>
          <w:rFonts w:ascii="Times New Roman" w:eastAsia="Times New Roman" w:hAnsi="Times New Roman" w:cs="Times New Roman"/>
          <w:b/>
          <w:sz w:val="24"/>
          <w:szCs w:val="24"/>
        </w:rPr>
      </w:pPr>
    </w:p>
    <w:p w:rsidR="00DC0B3C" w:rsidRPr="00DC0B3C" w:rsidRDefault="00DC0B3C" w:rsidP="00DC0B3C">
      <w:pPr>
        <w:spacing w:after="120" w:line="240" w:lineRule="auto"/>
        <w:rPr>
          <w:rFonts w:ascii="Times New Roman" w:eastAsia="Times New Roman" w:hAnsi="Times New Roman" w:cs="Times New Roman"/>
          <w:b/>
          <w:sz w:val="24"/>
          <w:szCs w:val="24"/>
        </w:rPr>
      </w:pPr>
    </w:p>
    <w:p w:rsidR="00DC0B3C" w:rsidRPr="00DC0B3C" w:rsidRDefault="00DC0B3C" w:rsidP="00DC0B3C">
      <w:pPr>
        <w:spacing w:after="120" w:line="240" w:lineRule="auto"/>
        <w:rPr>
          <w:rFonts w:ascii="Times New Roman" w:eastAsia="Times New Roman" w:hAnsi="Times New Roman" w:cs="Times New Roman"/>
          <w:b/>
          <w:sz w:val="24"/>
          <w:szCs w:val="24"/>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b/>
          <w:lang w:eastAsia="en-GB"/>
        </w:rPr>
        <w:lastRenderedPageBreak/>
        <w:t>4.  Exploitation</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r w:rsidRPr="00DC0B3C">
        <w:rPr>
          <w:rFonts w:ascii="Arial" w:eastAsia="Times New Roman" w:hAnsi="Arial" w:cs="Times New Roman"/>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 xml:space="preserve">The presence of any significant indicator for sexual exploitation should trigger a referral to Birmingham Children’s Trust.  The significant indicators are: </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Arial"/>
        </w:rPr>
        <w:t>Having a relationship of concern with a controlling adult or young person (this may involve physical and/or emotional abuse and/or gang activity);</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Arial"/>
        </w:rPr>
        <w:t xml:space="preserve">Entering </w:t>
      </w:r>
      <w:r w:rsidRPr="00DC0B3C">
        <w:rPr>
          <w:rFonts w:ascii="Arial" w:eastAsia="Times New Roman" w:hAnsi="Arial" w:cs="Times New Roman"/>
          <w:lang w:eastAsia="en-GB"/>
        </w:rPr>
        <w:t>and</w:t>
      </w:r>
      <w:r w:rsidRPr="00DC0B3C">
        <w:rPr>
          <w:rFonts w:ascii="Arial" w:eastAsia="Times New Roman" w:hAnsi="Arial" w:cs="Arial"/>
        </w:rPr>
        <w:t>/or leaving vehicles driven by unknown adults;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Times New Roman"/>
          <w:lang w:eastAsia="en-GB"/>
        </w:rPr>
        <w:t>Possessing</w:t>
      </w:r>
      <w:r w:rsidRPr="00DC0B3C">
        <w:rPr>
          <w:rFonts w:ascii="Arial" w:eastAsia="Times New Roman" w:hAnsi="Arial" w:cs="Arial"/>
        </w:rPr>
        <w:t xml:space="preserve"> unexplained amounts of money, expensive clothes or other items;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Times New Roman"/>
          <w:lang w:eastAsia="en-GB"/>
        </w:rPr>
        <w:t>Frequenting</w:t>
      </w:r>
      <w:r w:rsidRPr="00DC0B3C">
        <w:rPr>
          <w:rFonts w:ascii="Arial" w:eastAsia="Times New Roman" w:hAnsi="Arial" w:cs="Arial"/>
        </w:rPr>
        <w:t xml:space="preserve"> areas known for risky activities;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Arial"/>
        </w:rPr>
        <w:t xml:space="preserve">Being </w:t>
      </w:r>
      <w:r w:rsidRPr="00DC0B3C">
        <w:rPr>
          <w:rFonts w:ascii="Arial" w:eastAsia="Times New Roman" w:hAnsi="Arial" w:cs="Times New Roman"/>
          <w:lang w:eastAsia="en-GB"/>
        </w:rPr>
        <w:t>groomed</w:t>
      </w:r>
      <w:r w:rsidRPr="00DC0B3C">
        <w:rPr>
          <w:rFonts w:ascii="Arial" w:eastAsia="Times New Roman" w:hAnsi="Arial" w:cs="Arial"/>
        </w:rPr>
        <w:t xml:space="preserve"> or abused via the Internet and mobile technology; and</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Times New Roman"/>
          <w:lang w:eastAsia="en-GB"/>
        </w:rPr>
        <w:t>Having</w:t>
      </w:r>
      <w:r w:rsidRPr="00DC0B3C">
        <w:rPr>
          <w:rFonts w:ascii="Arial" w:eastAsia="Times New Roman" w:hAnsi="Arial" w:cs="Arial"/>
        </w:rPr>
        <w:t xml:space="preserve"> unexplained contact with hotels, taxi companies or fast food outlets.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Arial"/>
        </w:rPr>
        <w:t>Missing for periods of time (CSE and County Lines)</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sz w:val="24"/>
          <w:szCs w:val="24"/>
          <w:lang w:eastAsia="en-GB"/>
        </w:rPr>
      </w:pPr>
    </w:p>
    <w:p w:rsidR="00DC0B3C" w:rsidRPr="00DC0B3C" w:rsidRDefault="00DC0B3C" w:rsidP="00DC0B3C">
      <w:pPr>
        <w:spacing w:after="120" w:line="240" w:lineRule="auto"/>
        <w:jc w:val="both"/>
        <w:rPr>
          <w:rFonts w:ascii="Times New Roman" w:eastAsia="Times New Roman" w:hAnsi="Times New Roman" w:cs="Times New Roman"/>
          <w:b/>
          <w:sz w:val="24"/>
          <w:szCs w:val="24"/>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b/>
          <w:lang w:eastAsia="en-GB"/>
        </w:rPr>
        <w:t>5. Emotional Abuse</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DC0B3C">
        <w:rPr>
          <w:rFonts w:ascii="Arial" w:eastAsia="Times New Roman" w:hAnsi="Arial" w:cs="Times New Roman"/>
          <w:iCs/>
          <w:lang w:eastAsia="en-GB"/>
        </w:rPr>
        <w:t>It may include not giving the child opportunities to express their views, deliberately silencing them or 'making fun' of what they say or how they communicate.</w:t>
      </w:r>
      <w:r w:rsidRPr="00DC0B3C">
        <w:rPr>
          <w:rFonts w:ascii="Arial" w:eastAsia="Times New Roman" w:hAnsi="Arial" w:cs="Times New Roman"/>
          <w:lang w:eastAsia="en-GB"/>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DC0B3C">
        <w:rPr>
          <w:rFonts w:ascii="Arial" w:eastAsia="Times New Roman" w:hAnsi="Arial" w:cs="Times New Roman"/>
          <w:i/>
          <w:lang w:eastAsia="en-GB"/>
        </w:rPr>
        <w:t>,</w:t>
      </w:r>
      <w:r w:rsidRPr="00DC0B3C">
        <w:rPr>
          <w:rFonts w:ascii="Arial" w:eastAsia="Times New Roman" w:hAnsi="Arial" w:cs="Times New Roman"/>
          <w:lang w:eastAsia="en-GB"/>
        </w:rPr>
        <w:t xml:space="preserve"> causing children frequently to feel frightened or in danger, or the exploitation or corruption of children.  Some level of emotional abuse is involved in all types of maltreatment. </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The following may be indicators of emotional abuse (this is not designed to be used as a checklist):</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The child consistently describes him/herself in very negative ways – as stupid, naughty, hopeless, ugly;</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lang w:eastAsia="en-GB"/>
        </w:rPr>
        <w:t>Over-reaction to mistakes;</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Delayed physical, mental or emotional development;</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Sudden speech or sensory disorders;</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Inappropriate emotional responses, fantasies;</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Neurotic behaviour: rocking, banging head, regression, tics and twitches;</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Self-harming, drug or solvent abuse;</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Fear of parents being contacted;</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Running away;</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Compulsive stealing;</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Appetite disorders - anorexia nervosa, bulimia; or</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Soiling, smearing faeces, enuresis.</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rPr>
      </w:pPr>
    </w:p>
    <w:p w:rsidR="00DC0B3C" w:rsidRPr="00DC0B3C" w:rsidRDefault="00DC0B3C" w:rsidP="00DC0B3C">
      <w:pPr>
        <w:spacing w:after="0" w:line="240" w:lineRule="auto"/>
        <w:jc w:val="both"/>
        <w:rPr>
          <w:rFonts w:ascii="Arial" w:eastAsia="Times New Roman" w:hAnsi="Arial" w:cs="Arial"/>
        </w:rPr>
      </w:pPr>
      <w:r w:rsidRPr="00DC0B3C">
        <w:rPr>
          <w:rFonts w:ascii="Arial" w:eastAsia="Times New Roman" w:hAnsi="Arial" w:cs="Arial"/>
        </w:rPr>
        <w:lastRenderedPageBreak/>
        <w:t>N.B.: Some situations where children stop communicating suddenly (known as “traumatic mutism”) can indicate maltreatment.</w:t>
      </w:r>
    </w:p>
    <w:p w:rsidR="00DC0B3C" w:rsidRPr="00DC0B3C" w:rsidRDefault="00DC0B3C" w:rsidP="00DC0B3C">
      <w:pPr>
        <w:spacing w:after="120" w:line="240" w:lineRule="auto"/>
        <w:jc w:val="both"/>
        <w:rPr>
          <w:rFonts w:ascii="Times New Roman" w:eastAsia="Times New Roman" w:hAnsi="Times New Roman" w:cs="Times New Roman"/>
          <w:b/>
          <w:sz w:val="24"/>
          <w:szCs w:val="24"/>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color w:val="FF0000"/>
          <w:lang w:eastAsia="en-GB"/>
        </w:rPr>
      </w:pPr>
      <w:r w:rsidRPr="00DC0B3C">
        <w:rPr>
          <w:rFonts w:ascii="Arial" w:eastAsia="Times New Roman" w:hAnsi="Arial" w:cs="Times New Roman"/>
          <w:b/>
          <w:lang w:eastAsia="en-GB"/>
        </w:rPr>
        <w:t>6. Responses from Parents/Carers</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Research and experience indicates that the following responses from parents may suggest a cause for concern across all five categories:</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Delay in seeking treatment that is obviously needed;</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Unawareness or denial of any injury, pain or loss of function (for example, a fractured limb);</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Incompatible explanations offered, several different explanations or the child is said to have acted in a way that is inappropriate to her/his age and development;</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Reluctance to give information or failure to mention other known relevant injuries;</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Frequent presentation of minor injuries;</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A persistently negative attitude towards the child;</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Unrealistic expectations or constant complaints about the child;</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Alcohol misuse or other drug/substance misuse;</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Parents request removal of the child from home; or</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Violence between adults in the household;</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Evidence of coercion and control.</w:t>
      </w:r>
    </w:p>
    <w:p w:rsidR="00DC0B3C" w:rsidRPr="00DC0B3C" w:rsidRDefault="00DC0B3C" w:rsidP="00DC0B3C">
      <w:pPr>
        <w:spacing w:after="120" w:line="240" w:lineRule="auto"/>
        <w:jc w:val="both"/>
        <w:rPr>
          <w:rFonts w:ascii="Times New Roman" w:eastAsia="Times New Roman" w:hAnsi="Times New Roman" w:cs="Times New Roman"/>
          <w:b/>
          <w:sz w:val="24"/>
          <w:szCs w:val="24"/>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b/>
          <w:lang w:eastAsia="en-GB"/>
        </w:rPr>
        <w:t>7. Disabled Children</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 xml:space="preserve">When working with children with disabilities, practitioners need to be aware that additional </w:t>
      </w:r>
      <w:r w:rsidRPr="00DC0B3C">
        <w:rPr>
          <w:rFonts w:ascii="Arial" w:eastAsia="Times New Roman" w:hAnsi="Arial" w:cs="Arial"/>
          <w:bCs/>
          <w:lang w:eastAsia="en-GB"/>
        </w:rPr>
        <w:t>possible indicators of</w:t>
      </w:r>
      <w:r w:rsidRPr="00DC0B3C">
        <w:rPr>
          <w:rFonts w:ascii="Arial" w:eastAsia="Times New Roman" w:hAnsi="Arial" w:cs="Arial"/>
          <w:lang w:eastAsia="en-GB"/>
        </w:rPr>
        <w:t xml:space="preserve"> </w:t>
      </w:r>
      <w:r w:rsidRPr="00DC0B3C">
        <w:rPr>
          <w:rFonts w:ascii="Arial" w:eastAsia="Times New Roman" w:hAnsi="Arial" w:cs="Arial"/>
          <w:bCs/>
          <w:lang w:eastAsia="en-GB"/>
        </w:rPr>
        <w:t xml:space="preserve">abuse </w:t>
      </w:r>
      <w:r w:rsidRPr="00DC0B3C">
        <w:rPr>
          <w:rFonts w:ascii="Arial" w:eastAsia="Times New Roman" w:hAnsi="Arial" w:cs="Arial"/>
          <w:lang w:eastAsia="en-GB"/>
        </w:rPr>
        <w:t>and/or neglect may also include:</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p>
    <w:p w:rsidR="00DC0B3C" w:rsidRPr="00DC0B3C" w:rsidRDefault="00DC0B3C" w:rsidP="00DC0B3C">
      <w:pPr>
        <w:numPr>
          <w:ilvl w:val="0"/>
          <w:numId w:val="6"/>
        </w:numPr>
        <w:autoSpaceDE w:val="0"/>
        <w:autoSpaceDN w:val="0"/>
        <w:adjustRightInd w:val="0"/>
        <w:spacing w:after="0" w:line="240" w:lineRule="auto"/>
        <w:jc w:val="both"/>
        <w:rPr>
          <w:rFonts w:ascii="Arial" w:eastAsia="Times New Roman" w:hAnsi="Arial" w:cs="Arial"/>
          <w:lang w:eastAsia="en-GB"/>
        </w:rPr>
      </w:pPr>
      <w:r w:rsidRPr="00DC0B3C">
        <w:rPr>
          <w:rFonts w:ascii="MyriadMM.412.601" w:eastAsia="Times New Roman" w:hAnsi="MyriadMM.412.601" w:cs="MyriadMM.412.601"/>
          <w:lang w:eastAsia="en-GB"/>
        </w:rPr>
        <w:t>A bruise in a site that may not be of concern on an ambulant child such as the shin, maybe of concern on a non-mobile child;</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Not getting enough help with feeding leading to malnourishment;</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Poor toileting arrangements;</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Lack of stimulation;</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Unjustified and/or excessive use of restraint ;</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Rough handling, extreme behaviour modification such as deprivation of medication, food or clothing, disabling wheelchair batteries;</w:t>
      </w:r>
    </w:p>
    <w:p w:rsidR="00DC0B3C" w:rsidRPr="00DC0B3C" w:rsidRDefault="00DC0B3C" w:rsidP="00DC0B3C">
      <w:pPr>
        <w:numPr>
          <w:ilvl w:val="0"/>
          <w:numId w:val="7"/>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Unwillingness to try to learn a child’s means of communication;</w:t>
      </w:r>
    </w:p>
    <w:p w:rsidR="00DC0B3C" w:rsidRPr="00DC0B3C" w:rsidRDefault="00DC0B3C" w:rsidP="00DC0B3C">
      <w:pPr>
        <w:numPr>
          <w:ilvl w:val="0"/>
          <w:numId w:val="7"/>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Ill-fitting equipment, for example, callipers, sleep boards, inappropriate splinting;</w:t>
      </w:r>
    </w:p>
    <w:p w:rsidR="00DC0B3C" w:rsidRPr="00DC0B3C" w:rsidRDefault="00DC0B3C" w:rsidP="00DC0B3C">
      <w:pPr>
        <w:numPr>
          <w:ilvl w:val="0"/>
          <w:numId w:val="7"/>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Misappropriation of a child’s finances; or</w:t>
      </w:r>
    </w:p>
    <w:p w:rsidR="00DC0B3C" w:rsidRPr="00DC0B3C" w:rsidRDefault="00DC0B3C" w:rsidP="00DC0B3C">
      <w:pPr>
        <w:numPr>
          <w:ilvl w:val="0"/>
          <w:numId w:val="8"/>
        </w:numPr>
        <w:autoSpaceDE w:val="0"/>
        <w:autoSpaceDN w:val="0"/>
        <w:adjustRightInd w:val="0"/>
        <w:spacing w:after="0" w:line="240" w:lineRule="auto"/>
        <w:jc w:val="both"/>
        <w:rPr>
          <w:rFonts w:ascii="Arial" w:eastAsia="Times New Roman" w:hAnsi="Arial" w:cs="Arial"/>
          <w:lang w:eastAsia="en-GB"/>
        </w:rPr>
      </w:pPr>
      <w:r w:rsidRPr="00DC0B3C">
        <w:rPr>
          <w:rFonts w:ascii="MyriadMM.412.601" w:eastAsia="Times New Roman" w:hAnsi="MyriadMM.412.601" w:cs="MyriadMM.412.601"/>
          <w:lang w:eastAsia="en-GB"/>
        </w:rPr>
        <w:t>Inappropriate invasive procedures.</w:t>
      </w:r>
    </w:p>
    <w:p w:rsidR="007E4ABE" w:rsidRDefault="007E4ABE"/>
    <w:sectPr w:rsidR="007E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MM.412.60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8">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3C"/>
    <w:rsid w:val="007E44A7"/>
    <w:rsid w:val="007E4ABE"/>
    <w:rsid w:val="00DC0B3C"/>
    <w:rsid w:val="00E0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Rachel Gaulton</cp:lastModifiedBy>
  <cp:revision>2</cp:revision>
  <dcterms:created xsi:type="dcterms:W3CDTF">2018-09-27T12:54:00Z</dcterms:created>
  <dcterms:modified xsi:type="dcterms:W3CDTF">2018-09-27T12:54:00Z</dcterms:modified>
</cp:coreProperties>
</file>